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gjdgxs" w:id="0"/>
      <w:bookmarkEnd w:id="0"/>
      <w:r w:rsidDel="00000000" w:rsidR="00000000" w:rsidRPr="00000000">
        <w:rPr>
          <w:smallCaps w:val="0"/>
          <w:rtl w:val="0"/>
        </w:rPr>
        <w:t xml:space="preserve">Unit 2:  Tropical </w:t>
      </w: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smallCaps w:val="0"/>
          <w:rtl w:val="0"/>
        </w:rPr>
        <w:t xml:space="preserve">isturbances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bookmarkStart w:colFirst="0" w:colLast="0" w:name="h.30j0zll" w:id="1"/>
      <w:bookmarkEnd w:id="1"/>
      <w:r w:rsidDel="00000000" w:rsidR="00000000" w:rsidRPr="00000000">
        <w:rPr>
          <w:smallCaps w:val="0"/>
          <w:rtl w:val="0"/>
        </w:rPr>
        <w:t xml:space="preserve">Case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smallCaps w:val="0"/>
          <w:rtl w:val="0"/>
        </w:rPr>
        <w:t xml:space="preserve">tudies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  <w:t xml:space="preserve">MJO, Equatorial Waves, and Tropical Cyclogenesis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hyperlink r:id="rId5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https://www.meted.ucar.edu/training_module.php?id=996</w:t>
        </w:r>
      </w:hyperlink>
      <w:r w:rsidDel="00000000" w:rsidR="00000000" w:rsidRPr="00000000">
        <w:rPr>
          <w:color w:val="0000ff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A case study of two sets of twin tropical cyclones spawned from the MJO, an equatorial mixed Rossby-gravity waves, and an equatorial (n=1) Rossby wave.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smallCaps w:val="0"/>
          <w:rtl w:val="0"/>
        </w:rPr>
        <w:t xml:space="preserve">Upper-tropospheric trough and mesoscale convective systems in Puerto Rico </w:t>
      </w:r>
      <w:hyperlink r:id="rId6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</w:t>
        </w:r>
      </w:hyperlink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</w:t>
        </w:r>
      </w:hyperlink>
      <w:hyperlink r:id="rId8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.meted.ucar.edu/radar/tropical_cases/navmenu.php?tab=1&amp;page=1.0.0</w:t>
        </w:r>
      </w:hyperlink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This case occurred over Puerto Rico on 6-7 May 2001.  It shows synoptic scale forcing from an upper-level trough, orographic forcing, and squall lines and bow-echoes.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smallCaps w:val="0"/>
          <w:rtl w:val="0"/>
        </w:rPr>
        <w:t xml:space="preserve">Tropical Storm Allison Rains in Houston, Texas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hyperlink r:id="rId10">
        <w:r w:rsidDel="00000000" w:rsidR="00000000" w:rsidRPr="00000000">
          <w:rPr>
            <w:smallCaps w:val="0"/>
            <w:color w:val="0000ff"/>
            <w:sz w:val="20"/>
            <w:szCs w:val="20"/>
            <w:u w:val="single"/>
            <w:rtl w:val="0"/>
          </w:rPr>
          <w:t xml:space="preserve">http://www.meted.ucar.edu/nwp/pcu3/cases/allison_HOU/menu.htm</w:t>
        </w:r>
      </w:hyperlink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 case study of Tropical Storm Allison (June 2001) that is primarily focused on numerical weather prediction aspects.  It examines the forecasts of storm track and precipitation.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tabs>
        <w:tab w:val="left" w:pos="7272"/>
      </w:tabs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Unit 2: Case Studies</w:t>
      <w:tab/>
      <w:tab/>
      <w:t xml:space="preserve">          Page </w:t>
    </w: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vertAlign w:val="baseline"/>
        <w:rtl w:val="0"/>
      </w:rPr>
      <w:t xml:space="preserve"> of </w:t>
    </w:r>
    <w:fldSimple w:instr="NUMPAGES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sz w:val="18"/>
        <w:szCs w:val="18"/>
        <w:rtl w:val="0"/>
      </w:rPr>
      <w:t xml:space="preserve">Tropical Synoptic Meteorology</w:t>
      <w:tab/>
      <w:tab/>
      <w:tab/>
      <w:tab/>
      <w:tab/>
      <w:tab/>
      <w:tab/>
      <w:t xml:space="preserve">     The COMET</w:t>
    </w:r>
    <w:r w:rsidDel="00000000" w:rsidR="00000000" w:rsidRPr="00000000">
      <w:rPr>
        <w:sz w:val="20"/>
        <w:szCs w:val="20"/>
        <w:vertAlign w:val="superscript"/>
        <w:rtl w:val="0"/>
      </w:rPr>
      <w:t xml:space="preserve">®</w:t>
    </w:r>
    <w:r w:rsidDel="00000000" w:rsidR="00000000" w:rsidRPr="00000000">
      <w:rPr>
        <w:sz w:val="12"/>
        <w:szCs w:val="12"/>
        <w:rtl w:val="0"/>
      </w:rPr>
      <w:t xml:space="preserve"> </w:t>
    </w:r>
    <w:r w:rsidDel="00000000" w:rsidR="00000000" w:rsidRPr="00000000">
      <w:rPr>
        <w:sz w:val="18"/>
        <w:szCs w:val="18"/>
        <w:rtl w:val="0"/>
      </w:rPr>
      <w:t xml:space="preserve">Program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singl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60" w:before="0" w:line="276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meted.ucar.edu/nwp/pcu3/cases/allison_HOU/menu.htm" TargetMode="External"/><Relationship Id="rId10" Type="http://schemas.openxmlformats.org/officeDocument/2006/relationships/hyperlink" Target="http://www.meted.ucar.edu/nwp/pcu3/cases/allison_HOU/menu.htm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meted.ucar.edu/radar/tropical_cases/navmenu.php?tab=1&amp;page=1.0.0" TargetMode="External"/><Relationship Id="rId5" Type="http://schemas.openxmlformats.org/officeDocument/2006/relationships/hyperlink" Target="https://www.meted.ucar.edu/training_module.php?id=996" TargetMode="External"/><Relationship Id="rId6" Type="http://schemas.openxmlformats.org/officeDocument/2006/relationships/hyperlink" Target="http://www.meted.ucar.edu/radar/tropical_cases/navmenu.php?tab=1&amp;page=1.0.0" TargetMode="External"/><Relationship Id="rId7" Type="http://schemas.openxmlformats.org/officeDocument/2006/relationships/hyperlink" Target="http://www.meted.ucar.edu/radar/tropical_cases/navmenu.php?tab=1&amp;page=1.0.0" TargetMode="External"/><Relationship Id="rId8" Type="http://schemas.openxmlformats.org/officeDocument/2006/relationships/hyperlink" Target="http://www.meted.ucar.edu/radar/tropical_cases/navmenu.php?tab=1&amp;page=1.0.0" TargetMode="External"/></Relationships>
</file>