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Unit 3:  General Mesoscale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smallCaps w:val="0"/>
          <w:rtl w:val="0"/>
        </w:rPr>
        <w:t xml:space="preserve">henomena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smallCaps w:val="0"/>
          <w:rtl w:val="0"/>
        </w:rPr>
        <w:t xml:space="preserve">Learning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smallCaps w:val="0"/>
          <w:rtl w:val="0"/>
        </w:rPr>
        <w:t xml:space="preserve">At the end of this unit, learners should be able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Describe the formation, structure, and lifecycle of ordinary and multi-cellular thunderstorms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Recall the structure and lifecycle of tropical mesoscale convective systems (MCS) including tropical squall line, bow echo, mesoscale convective complex, mesoscale convective vortex, and non-squall tropical cluster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Identify MCSs in satellite and radar imagery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List the potential weather hazards most likely associated with each type of MCS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Identify key dynamic and thermodynamic environments favorable for each type of MCS, including favorable large-scale environments.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Understand similarities and differences between tropical and midlatitude squall lines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Describe the geographic climatology of tropical MCSs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Describe why and how sea-land breezes form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Describe why and how mountain-valley breezes form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36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Describe the structure and formation of tornadoes, waterspouts, and dust devils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3: Learning Objectives</w:t>
      <w:tab/>
      <w:tab/>
      <w:t xml:space="preserve">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trike w:val="1"/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